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(СУ)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е задължителна част от обучението на студентите от специалност "Стопанско управление". Тя е включена в учебния план за обучението на студентите от образователно-квалификационната степен "бакалавър".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преддипломната практиката е: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прилагане на придобитите през периода на обучението теоретични знания за решаване на практически задачи в реална работна среда;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формиране на практически умения за работа и изпълнение на функционални задължения в работна среда;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свързване на теоретичните познания с оперативната работа и функционирането на организацията;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усъвършенстване на аналитичните способности и умения чрез разширяване и конкретизиране на теоретичните познания в областта на функциониране на фирмите/институциите, в които се провежда практиката.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Задачите за изпълнение по време на преддипломната практика са свързани със: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дейността, икономическите параметри и управленската структура на приемащата организация;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длъжностната характеристика, която съответства на позицията, която се заема от стажанта;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технологията на основните операции, извършвани в организацията;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и участие в оперативната работа на организацията.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Според учебния план преддипломната практика трябва да бъде проведена след осми семестър на обучението извън установения график за провеждане на учебните занятия. Продължителността й е 45 дни. 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в организации със стопанска и нестопанска цел.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отчитането на проведената практика се подготвят и представят: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- Доклад по образец, предоставен от катедра "Мениджмънт", заверен от ръководителя на фирмата или институцията, в която студентът е провел практическото си обучение;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- Служебна бележка, която удостоверява, че студентът е бил на практическо обучение в определения период.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Очакваните резултати след приключване на преддипломната практика са: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надграждане на придобитите знания и умения по време на обучението до сега;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разширяване и задълбочаване на теоретичните и фактологични знания в областта,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затвърждаване на умението за логическото мислене, новаторство и творчески подход при решаване на нестандартни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изграждане на навик за самостоятелно интерпретиране на придобитите знания, свързвайки ги с прилагането на факти чрез критично възприемане, разбиране и иразяване на теории и принципи;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владеене на методите и средствата, които позволяват да се решават сложни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поемане на отговорност при вземане на решения в сложни условия, при влиянието на различни взаимодействащи си и трудно предвидими фактори;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придобиване на способност за административно управление на сложни и професионални дейности, включително на екипи и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изразяване на лично отношение и разбиране по въпроси чрез използване на методи, основани на качествени и количествени описания и оценки;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доразвиване на умението за събиране, класифициране, оценяване и интерпретиране на данни от областта с цел решаване на конкретни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формулиране на адекватна преценка в ситуации, характеризиращи се с непълна или ограничена информация и непредсказуемост. 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Възникване и история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Управленска структура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Подходи и методи за вземане на управленско решение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Методи за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Кадрово осигуряване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Социалната отговорност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Особености на фирмената култура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