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МЕНИДЖМЪНТ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Управление на екологичния риск</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ФММ-КМЕ-Б-335</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7</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ФММ-КМЕ-Б-335</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119</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147</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119</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60</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74</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60</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59</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73</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59</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23</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19</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19</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175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175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175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Писменият изпит се осъществява под формата на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"Управление на екологичния риск" е една от специалните (задължителни) дисциплини за специалността "Екомениджмънт", изучавана в 5 семестър с пълен хорариум 56 часа аудиторна и 119 часа извънаудиторна заетост. Чрез нея се дават познания на студентите, които ще им позволят да се запознаят с основните насоки по управлението на екологичния риск в условията на пазарна икономика.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Преди стартиране на курса на обучение по дисциплината, студентите трябва да притежават знания и умения в областта на управлението и да са запознати с теоретичните постановки от учебни дисциплини, като: Основи на управлението, Организационно поведение, Икономика и публичен сектор, Информационни системи и технологии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Системното овладяване на необходимите практически навици е в основата на методиката на аудиторното и извънаудиторното обучение по специалността. Особено внимание се отделя на повишаването на практическата управленска компетентност на обучаваните чрез използването на съвременни интерактивни методи на обучение (делови игри, тренинги, творчески дискусии, казуси, ситуации, и др.), на работата в екипи, на извънаудиторната работа и на самостоятелната подготовка.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се извършва в електронна/дистанционна платформа за обучение с помощта на синхронни и асинхронни лекции и упражнения, академични задания, както и самоподготовка чрез решаване на on-line тестове по дисциплината.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процесът на обучение се придобиват интегрирани знания за управлението на екологичния риск и особеностите на неговото управление. Студентите получават познания, които им позволяват да се запознаят с основите на управлението на екологичния риск в организациите, да усвоят и прилагат съвременни подходи, методи и концептуални инструментариуми за решаване на конкретни практически проблеми.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УНСС –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НБУ -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Лесотехнически университет -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University of Groningen, Nederlands.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European University, Barcelona, Spain.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7. University of Malta, Malta.</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ПОДХОДИ КЪМ УПРАВЛЕНИЕТО НА РИСКА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1.Основни понятия и термини в управлението и оценката на екологичните рискове.
</w:t>
              <w:br/>
              <w:t xml:space="preserve">2. Типология на екологичните рискове и опасности.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СТРУКТУРА НА ЕКОЛОГИЧНИЯ РИСК</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1.Вероятност на неблагоприятното въздействие.
</w:t>
              <w:br/>
              <w:t xml:space="preserve">2.Вероятност за поразяване на обекти от обкръжаващата среда.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ОСНОВНИ ПРИНЦИПИ И КРИТЕРИИ ПРИ УПРАВЛЕНИЕТО НА РИСКА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1.Цикъл на управлението на риска.
</w:t>
              <w:br/>
              <w:t xml:space="preserve">2. Критерии при управлението на риска.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НАЦИОНАЛНОТО И МЕСТНО ЗАКОНОДАТЕЛСТВО В ОБЛАСТТА НА ПРОМИШЛЕНАТА И 	     ЕКОЛОГИЧНА БЕЗОПАСНОСТ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1.Правно осигуряване на екологичната безопасност.
</w:t>
              <w:br/>
              <w:t xml:space="preserve">2.Правно регулиране на безопасността при опасните производства.
</w:t>
              <w:br/>
              <w:t xml:space="preserve">3.Българското законодателство в областта на промишлената безопасност.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ИНВЕНТАРИЗАЦИЯ И КЛАСИФИКАЦИЯ НА ОБЕКТИТЕ С ПОВИШЕН ЕКОЛОГИЧЕН РИСК</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1.Определяне степента на екологична опасност на обекта.
</w:t>
              <w:br/>
              <w:t xml:space="preserve">2.Методи за откриване и класификация на опасностите.
</w:t>
              <w:br/>
              <w:t xml:space="preserve">3.База данни за аварии.
</w:t>
              <w:br/>
              <w:t xml:space="preserve">4.Предаварийни ситуации. Бази данни и предаварийни ситуации.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МЕТОДИ ЗА ОТКРИВАНЕ НА УЯЗВИМОСТИ HAZOP</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Цели и област на приложение на HAZOP.
</w:t>
              <w:br/>
              <w:t xml:space="preserve">2 Последователност на провеждане на HAZOP
</w:t>
              <w:br/>
              <w:t xml:space="preserve">3 Изследване по HAZOP. Пример.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МЕТОДИКИ ЗА ОЦЕНКА НА РИСКА. МЕТОД ЗА ОБСЛЕДВАНЕ НА ТИПОВЕТЕ  	       	      ОТКАЗИ И АНАЛИЗ НА ТЕХНИТЕ ПОСЛЕДСТВИЯ.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Област на приложение. Технически подход. Определяне на изучавания проблем. Представяне на обзор. Документиране.Типова таблица. Маркировка на оборудването. Описание на оборудването.
</w:t>
              <w:br/>
              <w:t xml:space="preserve">2 Провеждане на изследвания по метода FTA. Цели на провеждане на изследванията по FTA.</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FN КРИВИ. КОЛИЧЕСТВЕНА ОЦЕНКА.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Построяване на множество сценарии за възникване и развитие на аварии.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МЕТОДИКИ ЗА ОЦЕНКА НА РИСКА. МЕТОД ЗА ОБСЛЕДВАНЕ НА ТИПОВЕТЕ 	      	     ОТКАЗИ И АНАЛИЗ НА ТЕХНИТЕ ПОСЛЕДСТВИЯ (FMEA)</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УПРАВЛЕНИЕ НА РИСКА ПРИ ФОРМИРАНЕ НА СТРАТЕГИЯТА ЗА РАЗВИТИЕ НА ПРЕДПРИЯТИЕТО.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1.Стратегия за устойчиво развитие на предприятието и програма от мероприятия за редуциране на риска.
</w:t>
              <w:br/>
              <w:t xml:space="preserve">2. Предотвратяване на аварии. Противоаварийни мероприятия.
</w:t>
              <w:br/>
              <w:t xml:space="preserve">3 Система  и концепция на системата за управление на безопасността.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ДОКУМЕНТИРАНЕ НА АНАЛИЗА НА РИСКОВЕТЕ.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1.Деклариране на безопасността. Съдържание на декларацията за безопасност.
</w:t>
              <w:br/>
              <w:t xml:space="preserve">2.Структура на декларацията за безопасност.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Дилков, Цв., Управление на риска., С.„Нова звезда” С.,2015.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Дилков, Цв., “Бизнесриск”, С.„Нова звезда” С.,2015.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Cyert, R.M. and March, J.G., A Behavioural Theory of the Firm, 2nd edition, Blackwell  	Business, Oxford, 1992.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Богоявленский С.Б. Управление риском в социально-экономических системах: Учебное пособие. – СПб.: Изд-во СПбГУЭФ, 2010.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Порфирьев Б.Н. Управление в чрезвычайных ситуациях: проблемы теории и практики. Итоги науки и техники. Серия "Проблемы безопасности: чрезвычайные ситуации" Т. 1. М.: ВИНИТИ, 1991.-204 с..</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Manual of Industrial Hazard Assessment Techniques. Office of Environmental and Scientific Affairs. The World Bank. (Методика Всемирного банка оценки опасности промышленных производств).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Ritchie, B. and Marshall, D., Business Risk Management, Chapman and Hall, London, 1993. 6.	Elaine M. Hall, Managing Risk: Methods for Software Systems Development , Addison Wesley SEI Series in Software Engineering, 1998.</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Предупреждение крупных аварий. Практическое руководство. Разработано при участии ЮНЕП, МБТ и BO3/Пер. с англ. Под ред. Э.В. Петросянса. М.: МП «Papor», 1992. — 256 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Хохлов Н.В. Управление риском. М.: ЮНИТИ-ДАНА, 1999.- 239 с.</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Цветан Дилков)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Ирена Емилова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