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Ресурсен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ФММ-КМЕ-Б-329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ФММ-КМЕ-Б-329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6</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се осъществява 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Днес стопанските субекти функционират в условията на сложния и труден преход от един към друг модел на икономическа система. Непрекъснатият спад на производството, загубата на работни места, увеличаващата се	безработица са настоящата реалност в българската индустрия. В подобна трудна обстановка поведението на стопанските ръководители е преобладаващо контурно, тактическо, насочено към оцеляване. Много високата степен на несигурност (на фирмите, на мениджърите, на персонала) блокира мисленето, създава чувство на безпомощност. Високото равнище на неудовлетвореност на потребностите на хората в сложния кризисен период, обуславя нарастващо напрежение в тях. В това напрежение се “крият” енергия и заряд, които могат да рефлектират в различни като възможности линии на поведение.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Преди стартиране на курса на обучение по дисциплината, студентите трябва да притежават знания и умения в областта на управлението и да са запознати с теоретичните постановки от учебни дисциплини, като: Основи на управлението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на студентите широко се използват различни по вид казуси, пишат се есета по определени предварително от титуляра на дисциплината теми, търси се решение на проблеми по технологията на "метода на мозъчната атака"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Актуалността на дисциплината се определя от факта, че ресурсния мениджмънт придобива съществено значение за успешното функциониране на фирмите в пазарните условия. Нараства вниманието към оползотворяване на съществуващите и търсенето на нови източници на ресурси.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разширени и задълбочени знания за логистичните дейности на предприятието;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връзки и зависимости между отделните звена в предприятието.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владеят методите и средствата по планиране, организация, функционално управление и контрол на процесите на движение на съвкупността от потоци в системата на пазарната икономика;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прилагат логическо мислене при оптимизиране на връзките;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притежават способността за лидерство в областта на логистиката;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поемат отговорност при вземането на решения за логистични действия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ВТУ "Св.Св. Кирил и Методий ", Велико Търново,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Oxford University - Oxford, United Kingdom.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ЕU Barcelona, Spain.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EU Montreux, Switzerland.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EU Munchen, Germany.</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НА РЕСУРСНИЯ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концепции и еволюция на идейте на ресурсния мениджмънт.
</w:t>
              <w:br/>
              <w:t xml:space="preserve">2.	Основни принципи и цели на ресурсния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ПЛАНИРАНЕ НА РЕСУРСНИЯ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етапи при въвеждане на ресурсния мениджмънт.
</w:t>
              <w:br/>
              <w:t xml:space="preserve">2.	Ефективни решения за въвеждане на ресурсния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ДОБРИ ПРАКТИКИ И ИНСТРУМЕНТИ ПО ПРИЛАГАНЕ  НА РЕСУРСНИЯ МЕНИДЖЪМЪНТ.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Фирмени стратегии  в областта на ресурсния мениджъмнт.
</w:t>
              <w:br/>
              <w:t xml:space="preserve">2.	Финансови инструменти за реализиране на проекти и програми в областта на ресурсния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МОДЕЛИ ЗА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моделите за управление на човешките ресурси.
</w:t>
              <w:br/>
              <w:t xml:space="preserve">2. Видове модели за управление на човешките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СИСТЕМИ ЗА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системите за УЧР.
</w:t>
              <w:br/>
              <w:t xml:space="preserve">2. Специфика на системите за УЧР.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ТРУДОВО ВЪЗНАГРАЖДЕНИЕ – СЪЩНОСТ, ФУНКЦИИ И ОСНОВНИ ФАКТОРИ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трудовото възнаграждение.
</w:t>
              <w:br/>
              <w:t xml:space="preserve">2. Функции на трудовото възнаграждение.
</w:t>
              <w:br/>
              <w:t xml:space="preserve">3. Основни фактори на трудовото възнаграждение.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СИСТЕМИ ЗА ТРУДОВО ВЪЗНАГРАЖДЕНИЕ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системите за трудово възнаграждение.
</w:t>
              <w:br/>
              <w:t xml:space="preserve">2. Видове системи за трудово възнаграждение.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СИСТЕМИ ЗА СТИМУЛИРАНЕ ТРУДА НА РАБОТНИЦИТЕ, СЛУЖИТЕЛИТЕ И УПРАВЛЕНСКИЯ ПЕРСОНАЛ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Системи за стимулиране на труда на работниците.
</w:t>
              <w:br/>
              <w:t xml:space="preserve">2. Системи за стимулиране на труда на служителите и управленския персонал.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ДОПЪЛНИТЕЛНИ ДОБАВКИ, ВЪЗНАГРАЖДЕНИЯ ПРОИЗТИЧАЩИ ОТ ДЕЙСТВИЕТО НА ЗАКОНА И ДРУГИ НОРМАТИВНИ АКТОВЕ.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Нормативно регламентиране на допълнителните добавки.
</w:t>
              <w:br/>
              <w:t xml:space="preserve">2. Категории персонал за които са предвидени допълнителни добавки.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Аврамов, В. Управление на персонала на търговската фирма. С., 2005.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Анатолий А.., Дилков Цв.., И. Емилова., Теория на управлението., АИ Ценов.,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Дени, Р. Мотивирай и спечели: Как да мотивираме себе си и останалите? С.,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Карабельова, С. Управление и развитие на човешкия потенциал. Конкурентното предимство на организацията. С., 2004.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Ленсиони, П. Петте основни слабости при работата в екип. С., 2006.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Банчева,Е., Иванова, М., “Стандарт на ИСП – БАУРЧР за разработване и акредитиране на магистърски програми “Управление и развитие на човешките ресурси”, София: издание на БАУРЧР – Популяризиране на добрите европейски практики и стандарти за оценка на професионализма в областта на УРЧР, ISBN-10:954-91984-1-3, ISBN 978-954-91984-1-6, 2006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Максуел, Дж. 17 неоспорими закона за работа в екип. С., 2006.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Богоявленский С.Б. Управление риском в социально-экономических системах: Учебное пособие. – СПб.: Изд-во СПбГУЭФ, 2010.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Smith, A. S., R. A. Mazin. HR Answer Book: An Indispensable Guide for Managers and Human Resources Professionals. 2012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Иванова, М., Ръководство за покриване на професионалните стандарти по УРЧР по пътя на обучение в МП УРЧР, София: УМ-НБУ , 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Банчева,Е., Иванова, М., “Учене и развитие чрез портфолио”, София: УМ-НБУ - учебник за магистърска програма УРЧР на НБУ-УМ, ISBN 978-954-535-452-6, 2006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