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МЕНИДЖМЪНТ И МАРКЕТИНГ</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МЕНИДЖМЪНТ</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Ваня Григорова</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3</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6</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20.11.2024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Ресурсен мениджмънт</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ФММ-КМЕ-Б-329</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4</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ФММ-КМЕ-Б-329</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v.03/2024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9</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36</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18</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36</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18</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9</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18</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9</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18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72</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90</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72</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36</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45</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36</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36</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45</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36</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15</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10</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10</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10</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6</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6</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108</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108</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108</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30%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30%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30%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20%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20%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Писменият изпит се осъществява под формата на тест.</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Днес стопанските субекти функционират в условията на сложния и труден преход от един към друг модел на икономическа система. Непрекъснатият спад на производството, загубата на работни места, увеличаващата се	безработица са настоящата реалност в българската индустрия. В подобна трудна обстановка поведението на стопанските ръководители е преобладаващо контурно, тактическо, насочено към оцеляване. Много високата степен на несигурност (на фирмите, на мениджърите, на персонала) блокира мисленето, създава чувство на безпомощност. Високото равнище на неудовлетвореност на потребностите на хората в сложния кризисен период, обуславя нарастващо напрежение в тях. В това напрежение се “крият” енергия и заряд, които могат да рефлектират в различни като възможности линии на поведение.</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Преди стартиране на курса на обучение по дисциплината, студентите трябва да притежават знания и умения в областта на управлението и да са запознати с теоретичните постановки от учебни дисциплини, като: Основи на управлението и др.</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В процеса на обучение на студентите широко се използват различни по вид казуси, пишат се есета по определени предварително от титуляра на дисциплината теми, търси се решение на проблеми по технологията на "метода на мозъчната атака" и др.</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Обучението се извършва в електронна/дистанционна платформа за обучение с помощта на синхронни и асинхронни лекции и упражнения, академични задания, както и самоподготовка чрез решаване на on-line тестове по дисциплината.</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Актуалността на дисциплината се определя от факта, че ресурсния мениджмънт придобива съществено значение за успешното функциониране на фирмите в пазарните условия. Нараства вниманието към оползотворяване на съществуващите и търсенето на нови източници на ресурси.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Знания: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да притежават разширени и задълбочени знания за логистичните дейности на предприятието;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самостоятелно да интерпретират връзки и зависимости между отделните звена в предприятието.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Умения: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владеят методите и средствата по планиране, организация, функционално управление и контрол на процесите на движение на съвкупността от потоци в системата на пазарната икономика;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прилагат логическо мислене при оптимизиране на връзките;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Компетенции: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притежават способността за лидерство в областта на логистиката;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поемат отговорност при вземането на решения за логистични действия</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 Университет за национално и световно стопанство, София, България.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2. Икономически университет, Варна, България.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3. ВТУ "Св.Св. Кирил и Методий ", Велико Търново, България.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4. Oxford University - Oxford, United Kingdom.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5. ЕU Barcelona, Spain.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6. EU Montreux, Switzerland.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7. EU Munchen, Germany.</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СЪЩНОСТ НА РЕСУРСНИЯ МЕНИДЖМЪНТ.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Основни концепции и еволюция на идейте на ресурсния мениджмънт.
</w:t>
              <w:br/>
              <w:t xml:space="preserve">2.	Основни принципи и цели на ресурсния мениджмънт.</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ПЛАНИРАНЕ НА РЕСУРСНИЯ МЕНИДЖМЪНТ.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Основни етапи при въвеждане на ресурсния мениджмънт.
</w:t>
              <w:br/>
              <w:t xml:space="preserve">2.	Ефективни решения за въвеждане на ресурсния мениджмънт.</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ДОБРИ ПРАКТИКИ И ИНСТРУМЕНТИ ПО ПРИЛАГАНЕ  НА РЕСУРСНИЯ МЕНИДЖЪМЪНТ.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Фирмени стратегии  в областта на ресурсния мениджъмнт.
</w:t>
              <w:br/>
              <w:t xml:space="preserve">2.	Финансови инструменти за реализиране на проекти и програми в областта на ресурсния мениджмънт.</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МОДЕЛИ ЗА УПРАВЛЕНИЕ НА ЧОВЕШКИТЕ РЕСУРСИ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на моделите за управление на човешките ресурси.
</w:t>
              <w:br/>
              <w:t xml:space="preserve">2. Видове модели за управление на човешките ресурси.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СИСТЕМИ ЗА УПРАВЛЕНИЕ НА ЧОВЕШКИТЕ РЕСУРСИ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на системите за УЧР.
</w:t>
              <w:br/>
              <w:t xml:space="preserve">2. Специфика на системите за УЧР.</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ТРУДОВО ВЪЗНАГРАЖДЕНИЕ – СЪЩНОСТ, ФУНКЦИИ И ОСНОВНИ ФАКТОРИ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на трудовото възнаграждение.
</w:t>
              <w:br/>
              <w:t xml:space="preserve">2. Функции на трудовото възнаграждение.
</w:t>
              <w:br/>
              <w:t xml:space="preserve">3. Основни фактори на трудовото възнаграждение.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СИСТЕМИ ЗА ТРУДОВО ВЪЗНАГРАЖДЕНИЕ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на системите за трудово възнаграждение.
</w:t>
              <w:br/>
              <w:t xml:space="preserve">2. Видове системи за трудово възнаграждение.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СИСТЕМИ ЗА СТИМУЛИРАНЕ ТРУДА НА РАБОТНИЦИТЕ, СЛУЖИТЕЛИТЕ И УПРАВЛЕНСКИЯ ПЕРСОНАЛ</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Системи за стимулиране на труда на работниците.
</w:t>
              <w:br/>
              <w:t xml:space="preserve">2. Системи за стимулиране на труда на служителите и управленския персонал.</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ДОПЪЛНИТЕЛНИ ДОБАВКИ, ВЪЗНАГРАЖДЕНИЯ ПРОИЗТИЧАЩИ ОТ ДЕЙСТВИЕТО НА ЗАКОНА И ДРУГИ НОРМАТИВНИ АКТОВЕ.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Нормативно регламентиране на допълнителните добавки.
</w:t>
              <w:br/>
              <w:t xml:space="preserve">2. Категории персонал за които са предвидени допълнителни добавки.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18</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9</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9</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18</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18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Аврамов, В. Управление на персонала на търговската фирма. С., 2005.</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Анатолий А.., Дилков Цв.., И. Емилова., Теория на управлението., АИ Ценов., 2019</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3. </w:t>
            </w:r>
            <w:r w:rsidR="007C6374">
              <w:rPr>
                <w:rFonts w:ascii="Times New Roman" w:hAnsi="Times New Roman"/>
                <w:bCs/>
                <w:color w:val="222222"/>
                <w:spacing w:val="-7"/>
                <w:sz w:val="24"/>
                <w:szCs w:val="24"/>
              </w:rPr>
              <w:t>Дени, Р. Мотивирай и спечели: Как да мотивираме себе си и останалите? С., 2010.</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4. </w:t>
            </w:r>
            <w:r w:rsidR="007C6374">
              <w:rPr>
                <w:rFonts w:ascii="Times New Roman" w:hAnsi="Times New Roman"/>
                <w:bCs/>
                <w:color w:val="222222"/>
                <w:spacing w:val="-7"/>
                <w:sz w:val="24"/>
                <w:szCs w:val="24"/>
              </w:rPr>
              <w:t>Карабельова, С. Управление и развитие на човешкия потенциал. Конкурентното предимство на организацията. С., 2004.</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5. </w:t>
            </w:r>
            <w:r w:rsidR="007C6374">
              <w:rPr>
                <w:rFonts w:ascii="Times New Roman" w:hAnsi="Times New Roman"/>
                <w:bCs/>
                <w:color w:val="222222"/>
                <w:spacing w:val="-7"/>
                <w:sz w:val="24"/>
                <w:szCs w:val="24"/>
              </w:rPr>
              <w:t>Ленсиони, П. Петте основни слабости при работата в екип. С., 2006.</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6. </w:t>
            </w:r>
            <w:r w:rsidR="007C6374">
              <w:rPr>
                <w:rFonts w:ascii="Times New Roman" w:hAnsi="Times New Roman"/>
                <w:bCs/>
                <w:color w:val="222222"/>
                <w:spacing w:val="-7"/>
                <w:sz w:val="24"/>
                <w:szCs w:val="24"/>
              </w:rPr>
              <w:t>Банчева,Е., Иванова, М., “Стандарт на ИСП – БАУРЧР за разработване и акредитиране на магистърски програми “Управление и развитие на човешките ресурси”, София: издание на БАУРЧР – Популяризиране на добрите европейски практики и стандарти за оценка на професионализма в областта на УРЧР, ISBN-10:954-91984-1-3, ISBN 978-954-91984-1-6, 2006</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7. </w:t>
            </w:r>
            <w:r w:rsidR="007C6374">
              <w:rPr>
                <w:rFonts w:ascii="Times New Roman" w:hAnsi="Times New Roman"/>
                <w:bCs/>
                <w:color w:val="222222"/>
                <w:spacing w:val="-7"/>
                <w:sz w:val="24"/>
                <w:szCs w:val="24"/>
              </w:rPr>
              <w:t>Максуел, Дж. 17 неоспорими закона за работа в екип. С., 2006.</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8. </w:t>
            </w:r>
            <w:r w:rsidR="007C6374">
              <w:rPr>
                <w:rFonts w:ascii="Times New Roman" w:hAnsi="Times New Roman"/>
                <w:bCs/>
                <w:color w:val="222222"/>
                <w:spacing w:val="-7"/>
                <w:sz w:val="24"/>
                <w:szCs w:val="24"/>
              </w:rPr>
              <w:t>Богоявленский С.Б. Управление риском в социально-экономических системах: Учебное пособие. – СПб.: Изд-во СПбГУЭФ, 2010.</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9. </w:t>
            </w:r>
            <w:r w:rsidR="007C6374">
              <w:rPr>
                <w:rFonts w:ascii="Times New Roman" w:hAnsi="Times New Roman"/>
                <w:bCs/>
                <w:color w:val="222222"/>
                <w:spacing w:val="-7"/>
                <w:sz w:val="24"/>
                <w:szCs w:val="24"/>
              </w:rPr>
              <w:t>Smith, A. S., R. A. Mazin. HR Answer Book: An Indispensable Guide for Managers and Human Resources Professionals. 2012</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Иванова, М., Ръководство за покриване на професионалните стандарти по УРЧР по пътя на обучение в МП УРЧР, София: УМ-НБУ , 2005</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Банчева,Е., Иванова, М., “Учене и развитие чрез портфолио”, София: УМ-НБУ - учебник за магистърска програма УРЧР на НБУ-УМ, ISBN 978-954-535-452-6, 2006</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Цветан Дилков)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Ирена Емилова</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