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практикум по Дигитален маркетинг</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ФММ-КМА-М-892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ФММ-КМА-М-892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Изпитът е под формата на електронен тест. Тестът е съставен от избрани на случаен принцип въпроси, покриващи учебния материал по дисциплината.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„Магистърски практикум по Дигитален маркетинг“ се изучава от студентите от магистърска програма „Дигитален маркетинг”, които са избрали да се дипломират с държавен изпит по специалността.
</w:t>
      </w:r>
    </w:p>
    <w:p w14:paraId="4366F864" w14:textId="161C108E" w:rsidR="00106549" w:rsidRDefault="00106549" w:rsidP="00106549">
      <w:pPr>
        <w:ind w:firstLine="709"/>
        <w:jc w:val="both"/>
        <w:rPr>
          <w:rFonts w:ascii="Times New Roman" w:hAnsi="Times New Roman"/>
        </w:rPr>
      </w:pPr>
      <w:r>
        <w:rPr>
          <w:rFonts w:ascii="Times New Roman" w:hAnsi="Times New Roman"/>
        </w:rPr>
        <w:t>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магистърския практикум е студентите да изградят практико-приложни умения по придобитите концептуални маркетингови знания в изучавания комплекс от дисциплини в магистърската програма, които да могат да реализират успешно в сферата на дигиталния маркетинг. В допълнение към това, дисциплината се явява своеобразна подготовка за финалния и най-важен изпит в рамките на магистърската програма – държавния комплексен изпит по Дигитален маркетинг.</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„Магистърски практикум“ започва след като студентите са положили всички изпити по учебните дисциплини от учебния план на магистърската програма и са усвоили съответните знания и умения.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на студентите от редовна и задочна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симулации, разработка и презентиране на индивидуални проектни задания, запознаване с практиката на управлението на маркетинга. Дава се възможност на студентите да участват в обучителния процес чрез изнасяне на тематични анотации. Стимулира се тяхното креативно мислене и екипната работа за търсене на нестандартни подходи при разрешаване на поставени проблеми от практиката. По такъв начин се стимулира интересът на обучаемите за натрупване на знания и умения, както и за апробирането на различни подходи, които са от особена важност за успешната им реализация в професионалното направление.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в дистанционна форма по дисциплината „Магистърски практикум по Дигитален маркетинг“ се осъществява чрез система за електронно обучение Moodle. По такъв начин се осигурява гъвкавост и достъпност на обучението по всяко време и от всяко място чрез използването на съвременни информационни и комуникационни технологии. Обучението дава възможности за интерактивност, проследяване на дейностите на обучаемите, възлагане на задачи за самостоятелна работа, както и обратна връзка за усъвършенстване на обучителния процес. Използва се комплекс от методи на преподаване, които включват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„Магистърски практикум по Дигитален маркетинг”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процеса на управление на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и систематизиране на знанията за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управленски решения в сферата на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маркетингови решения в условия на динамична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дейностите по управление на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да могат да разработват ясни и разбираеми идеи в областта на дигиталния маркетинг,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демонстрират разбиране по въпросите на дигиталния маркетинг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кръгозор и да демонстрират толерантност, разбиране и солидарност с другите при обсъждане на въпроси, свързани с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да могат да използват и литература на чужд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дигиталния маркетинг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дигиталния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Singapore University of Social Sciences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NC State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North Georgia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Маркетинг чрез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Канали и специалисти за маркетинг чрез съдържание
</w:t>
              <w:br/>
              <w:t xml:space="preserve">1.2. Определяне на целевите групи и принципи на създаване на съдържание.
</w:t>
              <w:br/>
              <w:t xml:space="preserve">1.3. Управление на продуктовото измерение на маркетинга чрез съдържание 
</w:t>
              <w:br/>
              <w:t xml:space="preserve">1.4. Избор на подходи за прилагане на маркетинг чрез съдържание
</w:t>
              <w:br/>
              <w:t xml:space="preserve">1.5. Планиране на маркетингова кампания  чрез съдържание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Дигитални маркетингови стратегии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Специфика на маркетинговите инструменти в дигитална среда
</w:t>
              <w:br/>
              <w:t xml:space="preserve">2.2. Платформи за дигитална реклама
</w:t>
              <w:br/>
              <w:t xml:space="preserve">2.3. Управление на E-mail маркетингови кампании
</w:t>
              <w:br/>
              <w:t xml:space="preserve">2.4. Управление на репутацията в дигитална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Прогностичен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Анализ на пожизнената стойност на клиента в среда на големи данни
</w:t>
              <w:br/>
              <w:t xml:space="preserve">3.2. Анализ на пазарната кошница чрез извличане на асоциативни правила в среда на големи данни
</w:t>
              <w:br/>
              <w:t xml:space="preserve">3.3. Управление на отлива на клиенти в среда на големи данни
</w:t>
              <w:br/>
              <w:t xml:space="preserve">3.4. Анализ на представянето и възможности за оптимизиране на дигитални маркетингови кампании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клиентското преживяване и дигитален бранд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Дигитален бранд и дигитален бранд мениджмънт
</w:t>
              <w:br/>
              <w:t xml:space="preserve">4.2. Разработване на дигитални бранд стратегии за подобряване на клиентското преживяване в дигитална среда
</w:t>
              <w:br/>
              <w:t xml:space="preserve">4.3. Дизайн и изпълнение на дигитални бранд програми за подобряване на клиентското преживяване в дигитална среда
</w:t>
              <w:br/>
              <w:t xml:space="preserve">4.4. Измерване и интерпретиране пазарното представяне на дигитален бранд
</w:t>
              <w:br/>
              <w:t xml:space="preserve">4.5. Увеличаване и поддържане на ценност на дигитален бранд</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Маркетинг в социални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Планиране, изпълнение и анализ на маркетингови кампании във Facebook
</w:t>
              <w:br/>
              <w:t xml:space="preserve">5.2. Планиране, изпълнение и анализ на маркетингови кампании в Instagram
</w:t>
              <w:br/>
              <w:t xml:space="preserve">5.3. Планиране, изпълнение и анализ на маркетингови кампании в YouTube</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Оптимизиране на сайтове за търсещи машини (SEO)</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SEO маркетинг
</w:t>
              <w:br/>
              <w:t xml:space="preserve">6.2. Фактори за вътрешна оптимизация
</w:t>
              <w:br/>
              <w:t xml:space="preserve">6.3. Фактори за външна оптимизация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Уеб аналитика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Принципи, технологии, инструменти на уеб анализа
</w:t>
              <w:br/>
              <w:t xml:space="preserve">7.2. Работа с Google Analytics</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Python/Anaconda/Jupyter Notebook</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Google Analytics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Semrush</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Google Data Studio</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5</w:t>
            </w:r>
            <w:r w:rsidR="00275D25">
              <w:rPr>
                <w:rFonts w:ascii="Times New Roman" w:hAnsi="Times New Roman"/>
                <w:sz w:val="24"/>
                <w:szCs w:val="24"/>
              </w:rPr>
              <w:t xml:space="preserve"> </w:t>
            </w:r>
            <w:r w:rsidR="00261DFD">
              <w:rPr>
                <w:rFonts w:ascii="Times New Roman" w:hAnsi="Times New Roman"/>
                <w:sz w:val="24"/>
                <w:szCs w:val="24"/>
              </w:rPr>
              <w:t>Google Search Console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„Маркетинг чрез съдържание“ в платформата за дистанционно и електронно обучение на СА “Д. А. Ценов“ - https://dl.uni-svishtov.bg/course/view.php?id=8073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Панда, П. Копирайтинг в Instagram, Locus,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Кравчик, Н. Копирайтинг за социални мрежи, уеб и медии. Асеневци,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Сингх, Ш., Даймънд, С. Маркетинг в социалните медии For Dummies. АлексСофт,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Материали и литературни източници в страницата на курса "Дигитални маркетингови стратегии" - https://dl.uni-svishtov.bg/course/view.php?id=8031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Кръстевич, Т., Прогностичен анализ (с Python). АИ „Ценов“, Свищов,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Електронен курс: Управление на клиентското преживяване и дигитален бранд мениджмънт - https://dl.uni-svishtov.bg/course/view.php?id=8023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Станимиров, Е., Жечев, В. Търговска марка и бранд мениджмънт. Наука и икономика, ИУ – Варна,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Keller, K. Strategic Brand Management. Building, Measuring, and Managing Brand Equity. 4th Ed., Pearson Education,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Chernev, A. Strategic Brand Management. 2nd Ed., Cerebellum Press,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Материали и информационни източници в курса „Маркетинг в социални мрежи“ - https://dl.uni-svishtov.bg/course/view.php?id=8033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Сингх, Ш., Деймънд, С., Маркетинг в социалните медии, Алекссофт,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Материали и информационни източници в курса „Оптимизиране на сайтове за търсещи машини (SEO)“ - https://dl.uni-svishtov.bg/course/view.php?id=8027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Adam Clarke, SEO 2021 Learn Search Engine Optimization with Smart Internet Marketing Strategies: Learn SEO with smart internet marketing strategies</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McCoy, J., Schaefer, M. Practical Content Strategy &amp; Marketing: The Content Strategy &amp; Marketing Course Guidebook. CreateSpace Independent Publishing Platform,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Bly, R. The Content Marketing Handbook: How to Double the Results of Your Marketing Campaigns, Entrepreneur Press,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Crestodina, A. Content Chemistry: The Illustrated Handbook for Content Marketing. Orbit Media Studios, Inc,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Марчевски, И., Р. Йорданов, Изследване пазара на приложения за Уеб анализ, Алманах научни изследвания „Изследване на българската макроикономика и на нейни сектори”, том 16, Академично издателство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Башев, Костадин. Ефективност на Интернет рекламата – сравнителен анализ между Facebook ads и Google AdWords кампании, Знанието - традиции, иновации, перспективи: Научна конференция с международно участие - Бургас, 14-15 юни 2013 г., с. 614-619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Rahim Baig, M. R., Govindan, G., Shrimali, V. R. (2021), Data Science for Marketing Analytics: A practical guide to forming a killer marketing strategy through data analysis with Python. Packt Publishing, 2nd ed.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Schwarz, J. S., Chapman, C., Feit, E. M. (2020), Python for Marketing Research and Analytics. Springer.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Grigsby, M. (2016), Advanced Customer Analytics: Targeting, Valuing, Segmenting and Loyalty Techniques (Marketing Science). Kogan Page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Artun, O., Levin, D. (2015), Predictive Marketing: Easy Ways Every Marketer Can Use Customer Analytics and Big Data.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Evans, D., Social Media Marketing,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Марчевски, И., Р. Йорданов, Изследване пазара на приложения за Уеб анализ, Алманах научни изследвания „Изследване на българската макроикономика и на нейни сектори”, том 16, Академично издателство „Ценов”, Свищов, 2012</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електронната търговия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конкуренцията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потребителите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https://offers.hubspot.com/content-marketing-training-workbook</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https://www.searchenginejournal.com/content-marketing/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http://dl.uni-svishtov.bg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https://support.google.com/google-ads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https://support.google.com/analytics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https://support.google.com/webmasters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https://mailchimp.com/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https://support.google.com/analytics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https://help.hotjar.com/hc/en-us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Тодор Кръстевич)</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Маруся Смокова-Стефанова)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Радослав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Криста Нейкова)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Хонорован преподавател Костадин Башев)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