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клиентското преживяване и дигитален бранд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Електронен 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„Управление на клиентското преживяване и дигитален бранд мениджмънт“ е да формира у студентите задълбочени знания и умения за успешно и ефективно управление на бранд и клиентско преживяване в дигитална среда. Курсът поставя фокус върху теориите, моделите и инструментите за планиране, прилагане и оценка на стратегии за изграждане и управление на бранд в дигитална среда. В обхвата му се покриват въпроси, свързани с: формиране на рамка за анализ на факторите за успеха на бранда на пазара; извеждане на практически инструменти за създаване и управление на успешни брандове в дигитална среда; измерване и управление на ценността на бранда; формиране на конкурентни предимства и тяхното комуникиране в дигитална среда; позициониране на бранда; изграждане на бранд портфолио и пр.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„Управление на клиентското преживяване и дигитален бранд мениджмънт“ е ориентиран към студенти в ОКС „магистър“, които са усвоили необходимите знания, умения и компетенции за успешното завършване на дисциплини като: Основи на маркетинга, Потребителско поведение, Маркетингови изследвания, Продуктова политика, Дистрибуционна политика, Комуникационна политика, Ценова политика и Дигитален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директна инструкция),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„Управление на клиентското преживяване и дигитален бранд мениджмънт“ студентите ще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Оценят ролята на бранда от гледна точка на компанията и пазара.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Опишат целта и методите за ефективно управление на бранд, в т.ч., как да се изгради устойчива ценност и идентичност на бранда.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Разработват ефективни стратегии за изграждане и управление на бранд и формулират маркетингови дейности и бюджети за тяхната реализация.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Разработват ефективни стратегии за управление на клиентско преживяване.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Провеждат критичен одит на бранда, в т.ч. формулират препоръки за промени и подобряване управлението на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НБУ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БСУ – Бургас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Bocconi, Italy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Poznan University of Economics and Business,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Fontys University of Applied Science, Netherlands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Harvard Business School,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Boston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Дигитален бранд мениджмънт и клиентско преживяване: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Дигитален бранд и дигитален бранд мениджмънт</w:t>
              <w:br/>
              <w:t xml:space="preserve">Клиентско преживяване</w:t>
              <w:br/>
              <w:t xml:space="preserve">Значение на дигиталния бранд</w:t>
              <w:br/>
              <w:t xml:space="preserve">Функции на дигиталния бранд</w:t>
              <w:br/>
              <w:t xml:space="preserve">Елементи на дигиталния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Стойност и ценност на дигитален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Ценност на дигиталния бранд</w:t>
              <w:br/>
              <w:t xml:space="preserve">Измерване на ценността на дигиталния бранд</w:t>
              <w:br/>
              <w:t xml:space="preserve">Стойност на дигиталния бранд</w:t>
              <w:br/>
              <w:t xml:space="preserve">Измерване на стойността на дигиталния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дигитален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Позиция на дигиталния бранд</w:t>
              <w:br/>
              <w:t xml:space="preserve">Позиционни карти: изграждане и интерпретация</w:t>
              <w:br/>
              <w:t xml:space="preserve">Позиционни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пазарна пенетрация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Програми за лоялност</w:t>
              <w:br/>
              <w:t xml:space="preserve">Продуктови стратегии</w:t>
              <w:br/>
              <w:t xml:space="preserve">Корпоративна социална отговорност</w:t>
              <w:br/>
              <w:t xml:space="preserve">Конкурентни стратегии</w:t>
              <w:br/>
              <w:t xml:space="preserve">Комуникационна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продуктово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Пазарно приемане</w:t>
              <w:br/>
              <w:t xml:space="preserve">Фамилен бранд</w:t>
              <w:br/>
              <w:t xml:space="preserve">Кобрандиране</w:t>
              <w:br/>
              <w:t xml:space="preserve">Суббранд или нов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пазарно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дигиталните брандове по пазарни сегменти</w:t>
              <w:br/>
              <w:t xml:space="preserve">Адаптация на дигитален бранд</w:t>
              <w:br/>
              <w:t xml:space="preserve">Лицензиране на дигитален бранд</w:t>
              <w:br/>
              <w:t xml:space="preserve">Глабален дигитален бранд </w:t>
              <w:br/>
              <w:t xml:space="preserve">Стандартизация срещу персонализация</w:t>
              <w:br/>
              <w:t xml:space="preserve">От глобален към локален дигитален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диверсификация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Изграждане на нов дигитален бранд</w:t>
              <w:br/>
              <w:t xml:space="preserve">Критерии за избор на елементи на дигиталния бранд</w:t>
              <w:br/>
              <w:t xml:space="preserve">Варианти и тактически решения при избора на елементи на дигитален бранд</w:t>
              <w:br/>
              <w:t xml:space="preserve">Разработване на маркетингова програма за изграждане на устойчива ценност на дигиталния бранд</w:t>
              <w:br/>
              <w:t xml:space="preserve">Измерване и интерпретиране на представянето на дигитален бранд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клиентското преживяване и дигитален бранд мениджмънт" в Платформата за дистанционно и електронно обучение на СА “Д. А. Ценов“, 2024, https://dl.uni-svishtov.bg/course/view.php?id=8021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Смокова, М. Управление на клиентското преживяване и дигитален бранд мениджмънт.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Chernev, A. Strategic Brand Management. 2nd Ed., Cerebellum Press,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 Strategic Brand Management. Building, Measuring, and Managing Brand Equity. 4th Ed., Pearson Education,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Е., Жечев, В. Търговска марка и бранд мениджмънт. Наука и икономика, ИУ – Варна,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Keller, K., Conceptualizing, Measuring, and Managing Customer-Based Brand Equity, Journal of Marketing, Vol. 57, No. 1 (Jan., 1993), pp. 1-22.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Simon, C. Sullivan, M., The Measurement and Determinants of Brand Equity: A Financial Approach, Marketing Science, Vol. 12, No. 1 (Winter, 1993), pp. 28-52.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