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клиентското преживяване и бранд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"Управление на клиентското преживяване и бранд мениджмънт" е да формира у студентите задълбочени знания и умения за управление на клиентското преживяване и успешно и ефективно изграждане и управление на бранд. Курсът поставя фокус върху теориите, моделите и инструментите за планиране, прилагане и оценка на стратегии за изграждане и управление на бранд и клиентнско преживяване. В обхвата му се покриват въпроси, свързани с: формиране на рамка за анализ на факторите за успеха на бранда на пазара; извеждане на практически инструменти за създаване и управление на успешни брандове; измерване и управление на ценността на бранда; формиране на конкурентни предимства и тяхното комуникиране; позициониране на бранда; изграждане на бранд портфолио и пр.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"Управление на клиентското преживяване и бранд мениджмънт" е ориентиран към студенти в ОКС „магистър“, които са усвоили необходимите знания, умения и компетенции за успешното завършване на дисциплини като: Основи на маркетинга, Потребителско поведение, Маркетингови изследвания, Продуктова политика, Дистрибуционна политика, Комуникационна политика и Ценова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директна инструкция),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"Управление на клиентското преживяване и бранд мениджмънт"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Оценят ролята на бранда от гледна точка на компанията и пазара.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Опишат целта и методите за ефективно управление на бранд, в т.ч., как да се изгради устойчива ценност и идентичност на бранда.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Разработват ефективни стратегии за изграждане и управление на бранд и формулират маркетингови дейности и бюджети за тяхната реализация.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Разработват ефективни стратегии за управление на клиентско преживяване.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Провеждат критичен одит на бранда, в т.ч. формулират препоръки за промени и подобряване управлението на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НБУ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БСУ – Бургас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Bocconi, Italy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Poznan University of Economics and Business,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Fontys University of Applied Science, Netherlands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Harvard Business School,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Boston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мениджмънт и клиентско преживяване: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Бранд и бранд мениджмънт</w:t>
              <w:br/>
              <w:t xml:space="preserve">Клиентско преживяване</w:t>
              <w:br/>
              <w:t xml:space="preserve">Значение на бранда</w:t>
              <w:br/>
              <w:t xml:space="preserve">Функции на бранда</w:t>
              <w:br/>
              <w:t xml:space="preserve">Елементи на бранда</w:t>
              <w:br/>
              <w:t xml:space="preserve">Брандът като социална валута</w:t>
              <w:br/>
              <w:t xml:space="preserve">Любов към бранда</w:t>
              <w:br/>
              <w:t xml:space="preserve">Семплост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Стойност и ценност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Ценност</w:t>
              <w:br/>
              <w:t xml:space="preserve">Измерване на ценността</w:t>
              <w:br/>
              <w:t xml:space="preserve">Стойност</w:t>
              <w:br/>
              <w:t xml:space="preserve">Измерване на ценността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Позиция на бранда</w:t>
              <w:br/>
              <w:t xml:space="preserve">Позиционни карти</w:t>
              <w:br/>
              <w:t xml:space="preserve">Позиционни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I: пазарна пенетрация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Програми за лоялност</w:t>
              <w:br/>
              <w:t xml:space="preserve">Продуктови стратегии</w:t>
              <w:br/>
              <w:t xml:space="preserve">Корпоративна социална отговорност</w:t>
              <w:br/>
              <w:t xml:space="preserve">Конкурентни стратегии</w:t>
              <w:br/>
              <w:t xml:space="preserve">Конкурентни заплахи и защита на бранда срещу ценови дискаунти и собствени марки</w:t>
              <w:br/>
              <w:t xml:space="preserve">Комуникационна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II: продуктово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Пазарно приемане</w:t>
              <w:br/>
              <w:t xml:space="preserve">Фамилен бранд</w:t>
              <w:br/>
              <w:t xml:space="preserve">Кобрандиране</w:t>
              <w:br/>
              <w:t xml:space="preserve">Избор между суббранд и въвеждане на нов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III: пазарно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бранда по географски райони и пазарни сегменти</w:t>
              <w:br/>
              <w:t xml:space="preserve">Адаптация на бранда</w:t>
              <w:br/>
              <w:t xml:space="preserve">Лицензиране на бранда</w:t>
              <w:br/>
              <w:t xml:space="preserve">Глабален брандинг. Ценност на глобален бранд. Позициониране на глобален бранд Стандартизация срещу персонализация</w:t>
              <w:br/>
              <w:t xml:space="preserve">Предимства и недостатъци на глобалния бранд</w:t>
              <w:br/>
              <w:t xml:space="preserve">Предимства и недостатъци на локалния бранд</w:t>
              <w:br/>
              <w:t xml:space="preserve">От глобален към локален бранд</w:t>
              <w:br/>
              <w:t xml:space="preserve">Външни заплахи за глобалния бранд</w:t>
              <w:br/>
              <w:t xml:space="preserve">Ефекти върху ценността на бранда в страната-първоизточник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IV: продуктово/пазарна диверсификация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Изграждане на нов бранд</w:t>
              <w:br/>
              <w:t xml:space="preserve">Критерии за избор на елементи на бранда</w:t>
              <w:br/>
              <w:t xml:space="preserve">Варианти и тактически решения при избора на елементи на бранда</w:t>
              <w:br/>
              <w:t xml:space="preserve">Разработване на маркетингова програма за изграждане на устойчива ценност на бранда Измерване и интерпретиране на представянето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портфейл от брандове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Придобиване на бранд</w:t>
              <w:br/>
              <w:t xml:space="preserve">Модифициране на бранд</w:t>
              <w:br/>
              <w:t xml:space="preserve">Подпомагане на бранда. Поддържане на бранд консистентност</w:t>
              <w:br/>
              <w:t xml:space="preserve">Съхраняване на източниците на ценност на бранда</w:t>
              <w:br/>
              <w:t xml:space="preserve">Ревитализиране на бранд. Повишаване известността на бранда</w:t>
              <w:br/>
              <w:t xml:space="preserve">Подобряване имиджа на бранда</w:t>
              <w:br/>
              <w:t xml:space="preserve">Изменения и подобрения в бранд портфолиото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клиентското преживяване и бранд мениджмънт" в Платформата за дистанционно и електронно обучение на СА “Д. А. Ценов“, 2024, https://dl.uni-svishtov.bg/course/view.php?id=8021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 Управление на клиентското преживяване и бранд мениджмънт.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Chernev, A. Strategic Brand Management. 2nd Ed., Cerebellum Press,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 Strategic Brand Management. Building, Measuring, and Managing Brand Equity. 4th Ed., Pearson Education,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Жечев, В. Търговска марка и бранд мениджмънт. Наука и икономика, ИУ – Варна,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K., Conceptualizing, Measuring, and Managing Customer-Based Brand Equity, Journal of Marketing, Vol. 57, No. 1 (Jan., 1993), pp. 1-22.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Simon, C. Sullivan, M., The Measurement and Determinants of Brand Equity: A Financial Approach, Marketing Science, Vol. 12, No. 1 (Winter, 1993), pp. 28-52.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