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16.06.2021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Маркетинг в здравеопазването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ФММ-КМА-М-327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ФММ-КМА-М-327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v.04/2021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50%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Изпитът се състои в решаване на тест, в който се включват закрити и открити въпроси, както и кратки изчислителни казуси, базирани на целия учебен материал.</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“МАРКЕТИНГ В ЗДРАВЕОПАЗВАНЕТО” запознава студентите с основните принципи на клиентски ориентирания подход при управление на организациите, оказващи здравни услуги. Очертани са основните характеристики на пазара на здравни услуги от маркетингова гледна точка. Дефинирани са основните детерминанти на търсенето и предлагането на здравни услуги, както и възможностите на различните групи инструменти за маркетингово въздействие в контекста на здравните услуги.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ефективно усвояване на предложената материя е необходимо студентите да са преминали през курс на обучение по "Макроикономика", "Микроикономика", "Основи на маркетинга". Необходими са и базови познания по здравен мениджмънт.</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"МАРКЕТИНГ В ЗДРАВЕОПАЗВАНЕТО" на студентите от редовна форма,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запознаване с практиката на организации за услуги.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по дисциплината "МАРКЕТИНГ В ЗДРАВЕОПАЗВАНЕТО" в дистанционна форма се базира на самоподготовка на студентите, текущо консултиране с преподавателския екип посредством богат инструментариум за синхронна и асинхронна комуникация (електронна платформа Moodle), подготвяне на изпитни казуси, решаване на онлайн базирани тестове. Не се предлагат групови задания. Стимулира се взаимодействието както между студент и преподавател, така и между самите студенти.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Курсът дава на студентите: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в две измерения.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Първо, знания относно стратегическите аспекти на  управлението на жизнения цикъл на клиентите – привличане, обслужване и развитие на клиентите – и второ, знания за цялостния цикъл на подготовка и реализация на маркетинговите програми, насочени към потенциалните и реалните потребители на здравни услуги - набиране и оценка на информация за пазара и потребителите на здравни услуги, разработване на маркетингови стратегии и планове и тяхната реализация чрез използване на основните маркетингови инструменти – продукт, цена и условия на плащане на здравните услуги, комуникация с представителите на целевата аудитория (ползватели на здравни услуги, здравна каса, съсловни организации и др.) и дистрибуция.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Съдържанието на курса дава възможност на студентите да се запознаят, както с основни теоретични постановки, така и да овладеят част от инструментариума за планиране, подготовка и реализация на маркетинговите решения.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управляване на сложна професионална дейност като маркетинговата;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за вземане на маркетигови решения в условия на динамично променяща се обкръжаваща среда;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изява на личния индивидуален творчески потенциал в управлението на здравните заведения и обслужването на клиентите;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за постигане на по-висока ефективност на обучителния процес.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развият способност да се самооценяват и да усъвършенстват своите знания и умения, както и да създават планове за разширяване и обновяване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могат да разработват ясни и разбираеми идеи в областта на маркетинга в контекста на здравните услуги, както и да поставят проблеми и да предлагат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демонстрират уважение към другите и разбиране по въпросите на маркетинга чрез използване на методи, основани на количествени и качествени описания и оценки;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проявяват широк кръгозор и ще демонстрират толерантност, разбиране и солидарност с другите при обсъждане на въпроси, свързани с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ще могат да използват и литература на английски език.</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компетентности, свързани със събиране, класифициране, анализиране, оценяване и интерпретиране на изследователски данни за решаване на конкретни задачи, както и такива, свързани с управлението на маркетинга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маркетинговия мениджмънт, международния маркетинг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приложение на логическо мислене и креативност при решаване на нестандартни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защита на собствени тези;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The University of Liverpool – Liverpool,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Vanderbilt, Owen Graduate School of Management – Nashville,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Carnegie Mellon University's Heinz Colleg – Pittsburgh, Pennsylvania, USA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Обща характеристика на маркетинга в здравеопазването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Еволюция на маркетинговата концепция и основни измерения на съвременната маркетингова парадигма. Особености на маркетинга на услуги. Особености на здравните услуги като обект на маркетингово въздействие.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Пазарът на здравни услуги като обект на маркетингово въздействие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Видове търсене и връзка с особеностите на маркетинговото въздействие. Модели на потребителско поведение и тяхното приложение на пазара на здравни услуги. Процес на вземане на решение за покупка в контекста на здравните услуги.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Сегментиране на пазара на здравни услуги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Обща характеристика на етапите на маркетингово разработване на пазара. Особености при разработване на пазара на здравни услуги. Определяне на релевантния пазар. Критерии за сегментиране на пазара. Процедура за идентифициране на пазарните сегменти.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Избор на целеви пазарен сегмент  и позициониране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Избор на целеви пазарен сегмент – същност и етапи. Същност на позиционирането. Стратегии за позициониране на пазара на здравни услуги.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Инструменти за маркетингово въздействие на пазара на здравни услуги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Инструменти за маркетингово въздействие. Здравния продукт – особености и стратегии за предлагане. Ценообразуване и условия на плащане на пазара на здравни услуги. Изграждане на ефективна комуникация с клиентите на здравни услуги и институциите, обслужващи системата на здравеопазването.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Оценка на клиентите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акценти при управлението на клиентите. Измерители за оценка на стойността “за клиента”. Измерители за оценка на стойността „на клиента”.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Марчевски, И. Маркетинг в здравеопазването, АИ „Ценов” –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Котлър,  Ф. Маркетинг мениджмънт, Графема.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Berkowitz, E. Essentials of Health Care Marketing, 3th ed.</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Thomas, R. Health Services Marketing: A Practitioner's Guide, Springer.</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Haefner, M., “8 Healthcare Marketing Trends for 2018”, Becker’s Hospital
Review, October 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Cumar, N., at al. Impact of Healthcare Marketing and Branding on Hospital Services, InternationInternational Journal of Research Foundation of Hospital &amp; Healthcare Administration, Vol. 2, (1). pp. 19-24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Weiss, R., “Modern Marketing Defined: Health Care Marketing’s
Organizational Impact Cannot be Easily Labelled”, Marketing Health Services,
33 (1), 12–13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Haimowitz, I., Healthcare Relationship Marketing, Gower Publishing Ltd., Farnham.</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Kotler, Ph., Strategic Marketing For Health Care Organizations: Building A Customer-Driven Health System, Jossey-Bass.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Berkowitz, E., Essentials of Health Care Marketing, Jones &amp; Bartlett Pub, 2ed.</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Иван Марчевски)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