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Стратегически маркетингов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v.06/2024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 изпит в тестова форма, която съдържа отворени и затворени въпроси, покриващи цялото учебно съдържание.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Учебната дисциплина "Стратегически маркетингов мениджмънт" е основна специализираща при обучението  на  студентите от магистърска образователно-квалификационна степен, магистърска програма "Маркетингов мениджмънт". Тя поднася теоретични знания  и  практически умения, свързани с управлението и осъществяването на стратегическите дейности в маркетинга. Предложените знания са свързани с концептуалните характеристики на стратегическото управление на маркетинга, представено е развитието на стратегическия мениджмънт и мястото на стратегическия маркетинг в него. Специално внимание е отделено на маркетинговите стратегии – техните  разновидности и управление, което обхваща процесите по разработване, изпълнение, измерване, оценка и контрол. Спецификата на стратегическия планов процес в маркетинга заема важно място в изложението. Фокусът пада и върху вземането на стратегически решения в маркетинга, като постановките могат да се използват в бизнес организации от различни браншове.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по "Стратегически маркетингов мениджмънт" е да предостави знания за постигане високо ниво на овладяване от студентите на концептуални знания, свързани със стратегическия маркетингов мениджмънт и умения за тяхното прилагане в практиката, необходими като подготовка на специалистите по маркетинг, мениджърския и изпълнителския персонал, свързани със стратегическия процес.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„Стратегически маркетингов мениджмънт” е надграждаща по отношение на придобитите фундаментални знания от студентите. Тя развива холистичното, системно и бизнес организационно възприемане и разбиране на стратегизма в маркетинга и неговото управление.  Като вход на курса служат базисните знания, получени по маркетинговите дисциплини от бакалавърска степен на обучение, с приоритетно значение на "Маркетинг", "Маркетингов мениджмънт", "Продуктова и иновационна политика", "Ценова политика", "Дистрибуционна политика", "Промоционална политика", "Комуникационна политика".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„Стратегически маркетингов мениджмънт” за студентите от редовна и задочна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курсови работи и индивидуални проектни задания.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за търсене на нестандартни подходи при разрешаване на поставени проблеми от практиката. С особено внимание се прилагат подходите на кооперативно учене и учене чрез преживяване в реална среда.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 Широко застъпени са също така и методите кооперативно учене и независими проекти.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„Стратегически маркетингов мениджмънт”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 Обучението по дисциплината предоставя на студентите 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постановките и дейностите на организацията в областта на стратегическото управление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запознаване със съвременните и очакваните тенденции в развитието на стратегическия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разбиране за разнообразието от маркетингови стратегии на ниво бизнес организация;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различните стратегически подходи и тяхната взаимовръзка за представяне на цялостна стратегическа картина на бизнес организацията;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решения, свързани с организацията на стратегическия маркетингов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управление на стратегическия маркетингов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 Като резултат от обучението по дисциплината студентите придобиват следните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и организиране на сложна професионална дейност като стратегическата в маркетинга, в т.ч. на маркетингови групи и ресурси;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решения в областта на маркетинга, при наличие на влияние на разнородни условия и трудно предсказуеми фактори в маркетинговата организационна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собствения индивидуален творчески потенциал в управлението на стратегическия маркетинг;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с цел постигане на по-висока ефективност.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развиват способността си да правят самооценка на знания и умения, които притежават и на необходимостта от тяхното подобряване, както и да създават планове за разширяване и обновяване на своята професионална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способност да разработват и представят ясни и разбираеми идеи в областта на стратегическия маркетингов мениджмънт,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демонстрират уважение към другите и разбиране по въпросите на стратегическото управление на маркетинга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придобиват умения да проявяват широк кръгозор и да демонстрират толерантност, разбиране и солидарност с другите при обсъждане на въпроси, свързани със стратегическите маркетингови дейности в национален и в международен аспект.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имат възможност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умения за събиране, класифициране, анализиране, оценяване и интерпретиране на изследователски данни за решаване на конкретни задачи, свързани със стратегическия маркетингов мениджмънт в организацията;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развиват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придобиват способности да правят анализи в по-широк или интердисциплинарен контекст;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използване на съвременни стратегически подходи;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умение за формиране и изразяване на лично мнение по въпросите на социалните и етични проблеми, възникващи в процеса на обучение и работа в областта на стратегическия маркетингов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 По време на обучението се предвижда студентите да придобият 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стратегическия маркетингов мениджмънт;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навици за работа в екип.</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се преподава във всички чуждестранни университети и висши училища, изучаващи икономика, като една от специализиращите маркетингови дисциплини в магистърска степен. Обучителният курс се провежда онлайн и офлайн. Съществуват множество университети в целия свят, като с изградени традиции в това отношение са: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Великобритания - London School of Business &amp; Finance, King's Business School, Aston University, Cranfield School of Management, Durham Business School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САЩ - University of Maryland, Harvard Business School, Saylor University, Auburn University, University of Southern California, Utah State University, East Michigan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Канада - Stanford Graduate School of Business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Франция - HEC Paris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Норвегия - Norwegian Business School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Дания - Aarhus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Германия - Ludwig Maximilian University of Munich, Ruprecht Karl University of Heidelberg, University of Cologne, University of Passau, University of Applied Sciences Wiesbaden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Испания - Istituto Europeo di Design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Австралия - University of Canberra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България дисциплината се преподава в УНСС София, ИУ Варна и др. университети, в които е развита специалност "Маркетинг".</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КОНЦЕПЦИЯТА ЗА СТРАТЕГИЧЕСКИ МАРКЕТИНГОВ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Фундамент на науката „стратегически маркетингов мениджмънт” (СММ)</w:t>
              <w:br/>
              <w:t xml:space="preserve">1.2. Основни понятия в стратегическия маркетингов мениджмънт</w:t>
              <w:br/>
              <w:t xml:space="preserve">1.3. Идеята за стратегичност в маркетинговия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 РАЗВИТИЕ НА ПАРАДИГМАТА НА СТРАТЕГИЧЕСКИЯ МАРКЕТИНГОВ МЕНИДЖМЪНТ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Утвърдени концепции и подходи за стратегически маркетингов мениджмънт (ретроспекция)</w:t>
              <w:br/>
              <w:t xml:space="preserve">2.2. Съвременни разбирания за ролята на стратегията</w:t>
              <w:br/>
              <w:t xml:space="preserve">2.3. Бъдещето на стратегическия маркетингов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ІІI. МАРКЕТИНГОВА СТРАТЕГИЯ НА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Специфика на маркетинговата стратегия </w:t>
              <w:br/>
              <w:t xml:space="preserve">3.2. Компоненти на стратегическия маркетинг </w:t>
              <w:br/>
              <w:t xml:space="preserve">3.3. Класификации на маркетинговите стратегии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ІV. РАЗРАБОТВАНЕ НА МАРКЕТИНГОВА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визия, мисия и процес на разработване на маркетингова стратегия. </w:t>
              <w:br/>
              <w:t xml:space="preserve">4.2.	Анализ на състоянието на бизнес средата и бизнес организацията (подходи)</w:t>
              <w:br/>
              <w:t xml:space="preserve">4.3. Стратегическо целеполагане</w:t>
              <w:br/>
              <w:t xml:space="preserve">4.4. Формулиране на стратегия</w:t>
              <w:br/>
              <w:t xml:space="preserve">4.5. Стратегически избор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СТРАТЕГИЧЕСКО МАРКЕТИНГОВО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Специфика на стратегическото маркетингово планиране </w:t>
              <w:br/>
              <w:t xml:space="preserve">5.2. Характеристики на стратегическия маркетингов план</w:t>
              <w:br/>
              <w:t xml:space="preserve">5.3. Процес на стратегическо маркетингово планиране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ИЗПЪЛНЕНИЕ НА МАРКЕТИНГОВАТА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6.1.Управление на планираната и реализирана маркетингова стратегия</w:t>
              <w:br/>
              <w:t xml:space="preserve">6.2. Анализ на резултатите от изпълнението на маркетинговата стратегия</w:t>
              <w:br/>
              <w:t xml:space="preserve">6.3. Контрол върху изпълнението на маркетинговата стратегия </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СТРАТЕГИЧЕСКИ МАРКЕТИНГОВИ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7.1. Акценти на процеса на вземане на стратегическо решение в маркетинга</w:t>
              <w:br/>
              <w:t xml:space="preserve">7.2. Информационно осигуряване на процеса на стратегически маркетингов мениджмънт</w:t>
              <w:br/>
              <w:t xml:space="preserve">7.3. Изпълнители на стратегическия маркетингов мениджмънт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по "Стратегически маркетингов мениджмънт" в Платформата за дистанционно и електронно обучение на СА “Д. А. Ценов“ https://dl.uni-svishtov.bg/course/view.php?id=3777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Стратегически маркетингов мениджмънт. АИ Ценов, Свищов,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Григорова, В. Маркетинговите мрежи от фирми: състояние и стратегически решения в туристическия сектор. Библиотека Стопански свят, Свищов,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Стойчев, Л. Стратегически аспекти на маркетинга. УИ "Паисий Хилендарски", 2024</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Aghazadeh, H. Business, Market, and Competitive Analysis (BMCA) Tools and Techniques. Principles of Marketology, 2016</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Kotler, Ph., Kartajaya, H., Setiawan, I. Marketing 4.0 - Moving from Traditional to Digital.  John Wiley &amp; Sons, Inc., Hoboken, New Jersey, 2017</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Lieberman, M. &amp; Montgomery, D. (2012). First Mover: Pioneer Strategies. Cheltenham: Edward Elgar.</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Иванов, П. Стратегически маркетинг – реалност и перспективи. “БИЗНЕС ПОСОКИ”, бр. 21, 2015, с. 3-8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Aghazadeh, H. Strategic Marketing Management: Achieving Superior Business Performance through Intelligent Marketing Strategy. 2015</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https://bizfluent.com/info-8186633-strategic-marketing-management-definition.html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https://www.executestrategy.net/blog/strategic-management-process.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https://www.bcci.bg/bulgarian/projects/latvia/10_StrategVadisana_GB_EN_20.09.10_BG_edit.pdf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https://trainingacademy.bg/wp-content/uploads/2019/02/Marketing-SBCS.pdf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Vanya Grigorova,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