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Връзки с обществеността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ФММ-КМА-Б-336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ФММ-КМА-Б-336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5%</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провежда в тестова форма върху всички теми от учебното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„Връзки с обществеността” е задължителна избираема, специализираща и се изучава от редовните, задочните и дистанционните студенти от специалност „Маркетинг” в ОКС „бакалавър”. Тя поднася концептуални знания, свързани с теорията на връзките с обществеността (PR), като освен дефиниционните характеристики са разгледани историческото развитие на практиката на връзките с обществеността, техните съвременни форми, комуникационната среда. Фокусът се поставя върху оперативните и стратегически измерения на осъществяване и управление на връзките с обществеността от бизнес организациите в рамките на тяхната интегрирана комуникационна политика. Специално внимание е отделено на PR специалистите с тяхната специфика и подбор, на планирането и провеждането на PR кампания, измерването на ефективността на тези дейности.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„Връзки с обществеността” се явява логическо продължение на изучаваните от студентите от специалност „Маркетинг” фундаментални и специализиращи учебни курсове „Основи на маркетинга”, „Продуктова и иновационна политика”, „Потребителско поведение”, „Маркетингови изследвания“, „Микроикономика“, „Икономическа социология“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„Връзки с обществеността”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Чрез обучението по дисциплината се постигат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„Връзки с обществеността”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спецификата на връзките с обществеността в оперативен и стратегически план и тяхното изграждане и управление, планирането и реализирането на ПР кампании и в частност на ПР специалистите;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различните подходи за осъществяване на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управлението на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организиране и управляване на сложна професионална дейност, свързана с връзки с обществеността във всички сфери на икономиката;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при вземане на собствени решения в областта на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разгръщане на личния творчески потенциал при възникване на специфични ситуации, свързани с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с цел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развиват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способност да разработват и представят ясни и разбираеми идеи в областта на връзките с обществеността,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етичност и уважение към другите и разбиране по въпросите на връзките с обществеността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умения да проявяват широк кръгозор и да демонстрират толерантност, разбиране и солидарност с другите при обсъждане на въпроси, свързани с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обучение студентите имат възможност да използват специализирана литература на български и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 връзките с обществеността в различни сфери и организации;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развиват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интегрираните маркетингови комуникации, управлението на комуникационния субмикс, международните комуникации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връзките с обществеността;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„Връзки с обществеността” е развита в почти всички висши училища, където има изградени департаменти по маркетинг, комуникации и/или връзки с обществеността, обучаващи студенти в бакалавърска степен. В България сходни дисциплини се преподават в Софийски университет, Пловдивски университет, Американски университет – Благоевград, Нов български университет – София, УНСС, ИУ – Варна, Великотърновски университет, Бургаски свободен университет, Варненски свободен университет, ЮЗУ - Благоевград и др. Дисциплини със сходно съдържание са развити в почти всички икономически университети в страните от Европейския съюз и извън него, например: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California State University, Barry University College of Arts and Sciences, Susquehanna University, Spring Hill College, Thiel College, Louisiana Christian University, University Of Nebraska Kearney, The University of Findlay, Middle Tennessee State University, Lindenwood University, Lynn University, Middle Tennessee State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Coventry University, Edinburgh Napier University, London Metropolitan University, Leeds Beckett University, Swansea University, Bournemouth University, Sheffield Hallam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Macromedia University, Geneva Graduate Institite, IU International University of Applied Sciences, Freie Universität Berlin, HMKW Hochschule for Medien, Kommunikazion und Wirtschaft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Италия - John Cabot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Концепцията за връзки с обществеността (PR)</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Място на концепцията в интегрираните маркетингови комуникации 
</w:t>
              <w:br/>
              <w:t xml:space="preserve">1.2. Основни постановки и понятия на концепцията. Видове PR.
</w:t>
              <w:br/>
              <w:t xml:space="preserve">1.3. Историческо развитие на теорията и практиката на PR 
</w:t>
              <w:br/>
              <w:t xml:space="preserve">1.4. Характеристики на съвременния PR</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Оперативно измерение на връзките с обществеността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Комуникационно пространство за PR въздействие. Общественост и обществено мнение. Аудитория и целеви групи.
</w:t>
              <w:br/>
              <w:t xml:space="preserve">2.2. PR инструментариум – модели, методи и средства 
</w:t>
              <w:br/>
              <w:t xml:space="preserve">2.3. Съвременни подходи за PR въздействие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Форми на връзки с обществеността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Взаимоотношения със средствата за масова информация. Форми.
</w:t>
              <w:br/>
              <w:t xml:space="preserve">3.2. Речи и представяне.
</w:t>
              <w:br/>
              <w:t xml:space="preserve">3.3. Слухове, стереотипи и митове
</w:t>
              <w:br/>
              <w:t xml:space="preserve">3.4. PR мероприятия, събития. Спонсорство.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Управление на връзките с обществеността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Организационни форми и основни функции на управлението на PR 
</w:t>
              <w:br/>
              <w:t xml:space="preserve">4.2. Етапи на PR дейността 
</w:t>
              <w:br/>
              <w:t xml:space="preserve">4.3. Оценка на рейтинга на PR формите 
</w:t>
              <w:br/>
              <w:t xml:space="preserve">4.4. Управление на корпоративния имидж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Стратегическо измерение на връзките с обществеността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Стратегическо планиране на PR 
</w:t>
              <w:br/>
              <w:t xml:space="preserve">5.2. PR стратегии  
</w:t>
              <w:br/>
              <w:t xml:space="preserve">5.3. Корпоративна социална отговорност и PR 
</w:t>
              <w:br/>
              <w:t xml:space="preserve">5.4. Етика и морал в PR</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Специалисти по връзки с обществеността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Характеристики на PR специалистите 
</w:t>
              <w:br/>
              <w:t xml:space="preserve">6.2. Структура и дейности на PR отдела. Връзки с останалите отдели. 
</w:t>
              <w:br/>
              <w:t xml:space="preserve">6.3. Компании и сдружения на PR експертите. PR аутсорсинг.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Провеждане на PR кампания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Елементи и планиране на PR кампания
</w:t>
              <w:br/>
              <w:t xml:space="preserve">7.2. Алгоритъм на осъществяване на PR кампания 
</w:t>
              <w:br/>
              <w:t xml:space="preserve">7.3. Анализ и оценка на ефективността на PR кампания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Moodle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BigBlueButton</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„Връзки с обществеността“ в Платформата за електронно обучение https://dl.uni-svishtov.bg/course/view.php?id=7643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Връзки с обществеността. Свищов, АИ Ценов, 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Серафимова, М. PR в дигиталната ера. ePUB,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Ройдева, М. Стереотипите, в които живеем. 02.09.2022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Kelleher, T. Public Relations. Oxford University Press; 2nd edition (January 6,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Rosenberg , А. A Modern Guide to Public Relations: Including: Content Marketing, SEO, Social Media &amp; PR Best Practices. Veracity Marketing, Jan 22,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Scott, D. The New Rules of Marketing and PR: How to Use Content Marketing, Podcasting, Social Media, AI, Live Video, and Newsjacking to Reach Buyers Directly. Wiley; 8th edition (April 15,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Vela-Williamson, M. Smart Talk: Public Relations Essentials All Pros Should Know. Lioncrest Publishing, October 19,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Mallaby, M. What Are The 7 Principles Of Corporate Social Responsibility? March 27,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Shpet, G., Nemeth, T. Hermeneutics and Its Problems: With Selected Essays in Phenomenology (Contributions to Phenomenology, 98) 1st ed., Springer,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Tomše, D., Snoj, B. Marketing communication on social networks: Solution in the times of crisis. January 2014, Marketing 45(2), р. 132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Turney, M.  Acronyms for the public relations process. 12.05.2021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Христова, Е. Комуникациите и организацията в 21. Век. Рой Комюникейшън,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Михайлов, Н. Етика и комуникация, София: „Мейкър Артс“,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Marsh, Ch., Guth, D., Short, B. Strategic Writing: Multimedia Writing for Public Relations, Advertising and More. Routledge; 4th edition (November 20,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Newsom, D., Haynes, J. Public Relations Writing: Strategies &amp; Structures. Cengage Learning; 11th edition (January 1,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Stahl, S. The Art &amp; Craft of PR: Creating the mindset and skills to succeed in public relations today. LID Publishing, June 21,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Seitel, F. The Practice of Public Relations. Pearson, 13th edition, 2016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на потребителите, обн. ДВ, бр.57, 28.07.2015 г., изм. ДВ. бр.70 от 20 Август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електронната търговия, доп. ДВ. бр.53 от 8 Юли 2022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конкуренцията, обн. ДВ. бр.102 от 28.11.2008 г., изм. ДВ. бр.84 от 6 Октомври 2023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https://rhetoric.bg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https://bg.economy-pedia.com/11032423-public-relations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https://www.ipra.org/history/ipras-story/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https://www.prsa.org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www.PRmoment.com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www.PRNewswire.com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www.PRweek.com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www.prnewsonline.com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