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Потребителско поведение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ФММ-КМА-Б-327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8</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ФММ-КМА-Б-327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70</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35</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70</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130</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165</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130</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65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83</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65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65</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82</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65</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62</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200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200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200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40%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40%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Писменият изпит представлява тест с отворени и затворени въпроси, предоставен в електронната платформа за обучение Мудъл към ЦДО (dl.uni-svishtov.bg) или на адрес: moodle.eacademybg.com, или и на хартиен носител.</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Този курс въвежда обучаемите в дебрите на психологията на потребителя, за да представи водещи теории за това как се изграждат възприятията за продукта в съзнанието на потребителя и как той формира своето отношение към него, как се стига до решение за покупка, какво кара потребителя да се чувства удовлетворен от избора си и как става лоялен към марката, търговеца и/или търговския обект, както и много други аспекти от поведението на потребителите. Макар корените на дисциплината да са поставени от психологията, полето на познания за поведението на потребителите непрекъснато се разширява и развива. </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„Потребителско поведение“ стъпва върху теоретични и емпирични знания от различни области на науката: психология, поведенческа икономика, социална психология. Тя има за цел да формира у студентите знания относно широк кръг от теми, свързани с потребителското поведение, като същевременно предложи адекватни способи за емпирично изследване на изучаваните сложни психологически феномени и насърчи развиването на умения за тяхното прилагане. Особено внимание е отделено на психологическите конструкти, чиято оценка в най-голяма степен вълнува маркетинговите мениджъри: възприятия за марката; мотиви за покупка; възприемани ползи; потребителски предпочитания; отношение към марката; клиентска удовлетвореност; клиентска лоялност; и други.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Усвояването на знания по дисциплината изисква добро познаване на съдържанието на следните дисциплини: </w:t>
      </w:r>
    </w:p>
    <w:p w14:paraId="57BEE9B4" w14:textId="77777777" w:rsidR="007A3150" w:rsidRDefault="007A3150" w:rsidP="007A3150">
      <w:pPr>
        <w:ind w:firstLine="709"/>
        <w:jc w:val="both"/>
        <w:rPr>
          <w:rFonts w:ascii="Times New Roman" w:hAnsi="Times New Roman"/>
        </w:rPr>
      </w:pPr>
      <w:r>
        <w:rPr>
          <w:rFonts w:ascii="Times New Roman" w:hAnsi="Times New Roman"/>
        </w:rPr>
        <w:t>• „Основи на маркетинга“ – в рамките на курса се коментира: прилагането на различни маркетингови стратегии; влиянието на множество инструменти от продуктовия, ценовия, дистрибуционния и комуникационния микс върху потребителското поведение; </w:t>
      </w:r>
    </w:p>
    <w:p w14:paraId="57BEE9B4" w14:textId="77777777" w:rsidR="007A3150" w:rsidRDefault="007A3150" w:rsidP="007A3150">
      <w:pPr>
        <w:ind w:firstLine="709"/>
        <w:jc w:val="both"/>
        <w:rPr>
          <w:rFonts w:ascii="Times New Roman" w:hAnsi="Times New Roman"/>
        </w:rPr>
      </w:pPr>
      <w:r>
        <w:rPr>
          <w:rFonts w:ascii="Times New Roman" w:hAnsi="Times New Roman"/>
        </w:rPr>
        <w:t>• „Основи на статистиката“ – за успешното развиване на умения за изучаване на феномените от областта на потребителското поведение на практика са необходими базови умения за прилагане на методи за едномерен и двумерен статистически анализ, както и визуално представяне на данни.</w:t>
      </w:r>
    </w:p>
    <w:p w14:paraId="57BEE9B4" w14:textId="77777777" w:rsidR="007A3150" w:rsidRDefault="007A3150" w:rsidP="007A3150">
      <w:pPr>
        <w:ind w:firstLine="709"/>
        <w:jc w:val="both"/>
        <w:rPr>
          <w:rFonts w:ascii="Times New Roman" w:hAnsi="Times New Roman"/>
        </w:rPr>
      </w:pPr>
      <w:r>
        <w:rPr>
          <w:rFonts w:ascii="Times New Roman" w:hAnsi="Times New Roman"/>
        </w:rPr>
        <w:t>• „Маркетингови изследвания I-ва част“ – знанията от тази дисциплина не са задължително условия за стартиране на курса, а важна предпоставка за успешното му завършване, затова студентите могат да трупват познания по двете дисциплини паралелно; познаването на специфичния начин на прилагане на различни изследователски стратегии, методи и инструменти за оценка на явления в областта на потребителското поведение е от ключово значение за развиване на умения, предавани по време на семинарни занятия.</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предаване на теоретично знание се използва лекционен метод на преподаване. По време на семинарни занятия със студентите се провеждат дискусии и се работи върху казусни ситуации от реална бизнес среда. Самостоятелната извънаудиторна работа на студентите включва индивидуални и групови проекти.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предаване на теоретично знание на разположение на студентите са електронни материали - презентации, статии, казуси. На студентите се възлагат индивидуални и групови проекти.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курса по "Потребителско поведение" се очаква студентите да могат да: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определят базовите потребности, които потребителите се стремят да задоволят с покупката на продукти;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познават механизмите на формиране на възприятия за продукта и възможностите за тяхното повлияване;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познават променливите, влияещи върху формирането на нагласи и предпочитания към продукта и продуктовите атрибути;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различават отделните етапи в процеса на вземане на решение за покупка на различни категории продукти;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анализират и структурират водещите мотиви за покупка в различни ситуации на потребление;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познават моделите на формиране на удовлетвореност и лоялност към марката;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могат да концептуализират и операционализират сложни психологически контрукти от областта на потребителското поведение.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за национално и световно стопанство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Икономически университет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 потребителското поведение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Роля на потребителя в маркетинговата стратегия. Роля на маркетинга в живот на потребителя. Необходимост от изучаване на потребителското поведение. Потребителското поведение като област на познание. Въведение в социалната психология и поведенческата икономика.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Формиране на потребителските възприятия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Процес на възприемане. Сензорни системи: зрение, слух, обоняние, допир. Сензорни прагове. Избирателно възприемане. Интерпретация на стимули и приписване на значение на символи.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Процеси на учене в потребителското поведение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Бихейвиористичен подход към ученето: класическо кондициониране и оперантно кондициониране. Когнитивни модели на учене. Видове памет и ролята им в потребителското поведение.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Мотивационни теории в потребителското поведение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Психологическа перспектива на мотивационния процес. Сила и посока на мотивацията. Мотивационни конфликти. Класифициране на потребителските мотиви. Изучаване на скритите мотиви на поведение. Желание, ангажираност и ценности на потребителя.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Формиране на нагласи към марката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фактори, влияещи върху отношението към марката. Формиране на нагласи към марката. Модели на потребителските нагласи. Използване на нагласите за предсказване на поведението на потребителите. Повлияване на нагласите чрез маркетингови активности.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Процес на вземане на решение за покупка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Модели на вземане на решение за покупка. Осъзнаване на потребността. Търсене на информация. Оценка на алтернативите. Избор на продукт. Ирационални моменти при вземане на решение и възможности за влияние върху избора.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Потребителско преживяване по време на покупка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Компоненти на потребителското преживяване по време на покупка. Влияние на социални и ситуационни фактори върху преживяването по време на покупка. Особености на потребителското преживяване при онлайн пазаруване.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Външни фактори, влияещи върху поведението на потребителите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Крос-културни вариации в поведението на потребителите. Субкултури. </w:t>
              <w:br/>
              <w:t xml:space="preserve">Референтни групи и лидери на мнения. Роли на членовете на домакинството. Комуникация от уста-на-уста.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Ирационални аспекти в поведението на потребителите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Понятие за удовлетвореност на клиентите и потребителите. Модели на потребителска удовлетвореност от продукта. Формиране на удовлетвореност от пазаруването в търговски обект. Влияние на различни фактори върху степента на удовлетвореност.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Формиране на удовлетвореност от преживяването с продукта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Преживяване на потребителя с продукта. Удовлетвореност на потребителите: афективни, когнитивни и конативни аспекти. Модели на потребителска удовлетвореност.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Тема XI. Насърчаване на лоялността към бранда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Дефиниране на лоялността към бранда. Видове клиентска лоялност. Модели на лоялността към бранда. Насърчаване на лоялното поведение на потребителите.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Тема XII. Измерване на сложни конструкти в потребителското поведение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Сложни конструкти в потребителското поведение. Концептуализиране и операционализиране на конструкти. Измервателни скали, съставяне на въпросници, анализ на данни.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Тема XIII. Поведение на потребителите онлайн</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Особености в поведението на потребителите онлайн. Потребителско "пътешествие" към онлайн покупка.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Microsoft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С. Желев, Г. Младенова, Т. Кръстевич, М. Кехайова, В. Гълъбова, Е. Костадинова, Б. Стоименова, Г. Забунов, К. Михалова и К. Постаджиян, Потребителско повдение, София: ИК - УНСС,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М. Кехайова-Стойчева, Социално-психологически аспекти на потребителското поведение, Варна: Библиотека “Проф. Ц. Калянджиев”, ИУ – Варна,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П. Горанова, Потребителско поведение, Свищов: АИ - Ценов,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Е. Станимиров, Потребителско поведение - Част 1, Варна: "Наука и икономика", ИУ - Варна,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М. Кехайова, Потребителско поведение - Част 2, Варна: "Наука и икономика", ИУ - Варна, 2009</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M. R. Solomon, G. J. Bamossy, S. Askegaarg, M. K. Hogg, Consumer Behaviour: A European Perspective (6th Edition), Pearson Education, 2016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D. Ariely, Predictably Irrational, Revised and Expanded Edition: The Hidden Forces That Shape Our Decisions, New York: Harper, 2009</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гл. ас. д-р Атанаска Решеткова)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